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421D6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E205EF3">
      <w:pPr>
        <w:pStyle w:val="2"/>
        <w:ind w:firstLine="640"/>
        <w:rPr>
          <w:rFonts w:hint="eastAsia"/>
        </w:rPr>
      </w:pPr>
    </w:p>
    <w:p w14:paraId="30CFF4D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2025年度上海高校哲学社会科学研究专项</w:t>
      </w:r>
    </w:p>
    <w:p w14:paraId="64EDF84D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选题指南</w:t>
      </w:r>
    </w:p>
    <w:p w14:paraId="55C154CF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2BE81945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高校马克思主义学院和思想政治理论课建设研究</w:t>
      </w:r>
    </w:p>
    <w:p w14:paraId="097B0082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1.习近平总书记关于学校思政课建设重要论述研究</w:t>
      </w:r>
    </w:p>
    <w:p w14:paraId="0CDAAC6C">
      <w:pPr>
        <w:tabs>
          <w:tab w:val="left" w:pos="312"/>
        </w:tabs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2.习近平文化思想融入高校思政课教学的机制和路径研究</w:t>
      </w:r>
    </w:p>
    <w:p w14:paraId="524733CA">
      <w:pPr>
        <w:tabs>
          <w:tab w:val="left" w:pos="312"/>
        </w:tabs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3.习近平总书记在上海重大实践与重要论述进思政课研究</w:t>
      </w:r>
    </w:p>
    <w:p w14:paraId="3F7494AD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4.深化习近平新时代中国特色社会主义思想教学体系化研究</w:t>
      </w:r>
    </w:p>
    <w:p w14:paraId="372B2F6F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darkGray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5.马克思主义理论学科建设20年回顾与展望研究</w:t>
      </w:r>
    </w:p>
    <w:p w14:paraId="75085ADF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6.“大思政课”建设中有效激发学生主体性的路径研究</w:t>
      </w:r>
    </w:p>
    <w:p w14:paraId="728ED72F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7.新时代高质量思政课案例教学及案例库建设研究</w:t>
      </w:r>
    </w:p>
    <w:p w14:paraId="3F9EC18D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8.民办高校思政课教学质量提升研究</w:t>
      </w:r>
    </w:p>
    <w:p w14:paraId="7C84707C">
      <w:pPr>
        <w:tabs>
          <w:tab w:val="left" w:pos="312"/>
        </w:tabs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9.上海高校马克思主义学科布局现状研究</w:t>
      </w:r>
    </w:p>
    <w:p w14:paraId="1B231D43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10.马克思主义理论学科建设与高校思政课改革创新协同发展研究</w:t>
      </w:r>
    </w:p>
    <w:p w14:paraId="27ABCE70">
      <w:pPr>
        <w:tabs>
          <w:tab w:val="left" w:pos="312"/>
        </w:tabs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11.高校思想政治理论课教学评价改革研究</w:t>
      </w:r>
    </w:p>
    <w:p w14:paraId="605ADCB9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12.上海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高校重点马克思主义学院、特色马克思主义学院建设成效研究</w:t>
      </w:r>
    </w:p>
    <w:p w14:paraId="4245D2E6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13.上海高校马克思主义学院结对共建机制路径研究</w:t>
      </w:r>
    </w:p>
    <w:p w14:paraId="376B8414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14.高校马克思主义研究院助推思政课高质量发展研究</w:t>
      </w:r>
    </w:p>
    <w:p w14:paraId="21253B76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15.高校马克思主义研究院队伍建设研究</w:t>
      </w:r>
    </w:p>
    <w:p w14:paraId="6DEEA6F3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大学生思想政治教育研究</w:t>
      </w:r>
    </w:p>
    <w:p w14:paraId="7951C412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Hlk139219441"/>
      <w:r>
        <w:rPr>
          <w:rFonts w:hint="eastAsia" w:ascii="仿宋_GB2312" w:hAnsi="仿宋_GB2312" w:eastAsia="仿宋_GB2312" w:cs="仿宋_GB2312"/>
          <w:sz w:val="32"/>
          <w:szCs w:val="32"/>
        </w:rPr>
        <w:t>1.高校落实“新时代立德树人工程”机制研究</w:t>
      </w:r>
      <w:bookmarkEnd w:id="0"/>
    </w:p>
    <w:p w14:paraId="16DCD711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2.新时代拓展高校实践育人的空间和阵地研究</w:t>
      </w:r>
    </w:p>
    <w:p w14:paraId="7927F960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3.新时代拓展高校网络育人的空间和阵地研究</w:t>
      </w:r>
    </w:p>
    <w:p w14:paraId="768A1A31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4.大学生日常主题教育体系化研究</w:t>
      </w:r>
    </w:p>
    <w:p w14:paraId="3E6713B2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5.基于大学生发展需求的心理健康医教协同服务机制研究</w:t>
      </w:r>
    </w:p>
    <w:p w14:paraId="7BB4EFD4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6.数智化背景下高校“一站式”学生社区综合管理模式建设研究</w:t>
      </w:r>
    </w:p>
    <w:p w14:paraId="603451EC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7.基于人工智能的学生心理健康自助工具开发研究</w:t>
      </w:r>
    </w:p>
    <w:p w14:paraId="42FB0A08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8.基于人工智能的大学生心理危机风险感知与动态监测机制研究</w:t>
      </w:r>
    </w:p>
    <w:p w14:paraId="5B636395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9.医学生思想政治教育内容建构研究</w:t>
      </w:r>
    </w:p>
    <w:p w14:paraId="5714E642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10.民办高校思政工作新思路、新机制、新做法研究</w:t>
      </w:r>
    </w:p>
    <w:p w14:paraId="09ED9647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11.人工智能技术对思想政治教育的影响、风险和应对</w:t>
      </w:r>
    </w:p>
    <w:p w14:paraId="0B46615C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12.大学生“数智陪伴”现象的行为表征、风险防范与引导策略研究</w:t>
      </w:r>
    </w:p>
    <w:p w14:paraId="53E810A0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13.高校教师育德意识育德能力提升策略研究</w:t>
      </w:r>
    </w:p>
    <w:p w14:paraId="5142BD3D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14.高校辅导员提升思政引领力的理论与实践研究</w:t>
      </w:r>
    </w:p>
    <w:p w14:paraId="71570337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15.高校国家安全教育教学方法研究</w:t>
      </w:r>
    </w:p>
    <w:p w14:paraId="13A1EA9B">
      <w:pPr>
        <w:spacing w:line="560" w:lineRule="exact"/>
        <w:rPr>
          <w:rFonts w:hint="eastAsia"/>
        </w:rPr>
      </w:pPr>
    </w:p>
    <w:p w14:paraId="3F5BE139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 w14:paraId="79057269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 w14:paraId="45422779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大中小学思想政治教育一体化研究</w:t>
      </w:r>
    </w:p>
    <w:p w14:paraId="465AB9F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1.大中小学德育工作体系和长效机制建设研究</w:t>
      </w:r>
    </w:p>
    <w:p w14:paraId="52E8CEF7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2.大中小学“教联体”协同育人模式与机制研究</w:t>
      </w:r>
    </w:p>
    <w:p w14:paraId="77EACEB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3.大中小学一体化开展思政课教研的实践路径研究</w:t>
      </w:r>
    </w:p>
    <w:p w14:paraId="4760109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4.大中小学心理健康教育课程一体化建设研究</w:t>
      </w:r>
    </w:p>
    <w:p w14:paraId="23A75E25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5.大中小学实践育人一体化建设机制研究</w:t>
      </w:r>
    </w:p>
    <w:p w14:paraId="4E84F996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6.大中小学一体化提升学生数智素养的实践路径研究</w:t>
      </w:r>
    </w:p>
    <w:p w14:paraId="20E85BB2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7.课程思政与学科德育一体化建设联动机制的实践研究</w:t>
      </w:r>
    </w:p>
    <w:p w14:paraId="1429F969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8.大中小学一体化推进“大思政课”试验体系构建与实施研究</w:t>
      </w:r>
    </w:p>
    <w:p w14:paraId="0CBC579F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9.大中小学一体化推进科学精神宣传教育的实践研究</w:t>
      </w:r>
    </w:p>
    <w:p w14:paraId="7652001F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10.大中小学思想政治教育一体化案例库建设研究</w:t>
      </w:r>
    </w:p>
    <w:p w14:paraId="61EC7592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11.大中小学文化育人资源图谱编制及应用研究</w:t>
      </w:r>
    </w:p>
    <w:p w14:paraId="79E47F5A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12.红色文化融入大中小学思想政治教育一体化路径研究</w:t>
      </w:r>
    </w:p>
    <w:p w14:paraId="7D06A97E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13.社会主义核心价值观融入大中小学思想政治教育一体化路径研究</w:t>
      </w:r>
    </w:p>
    <w:p w14:paraId="7A1F0025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14.一体化推进大中小学校国家安全教育的体制机制和关键问题研究</w:t>
      </w:r>
    </w:p>
    <w:p w14:paraId="57DE1D3D">
      <w:pPr>
        <w:tabs>
          <w:tab w:val="left" w:pos="312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15.大中小学一体化系统开展仪式教育的理论和实践研究</w:t>
      </w:r>
    </w:p>
    <w:p w14:paraId="2FDD07B3">
      <w:pPr>
        <w:tabs>
          <w:tab w:val="left" w:pos="312"/>
        </w:tabs>
        <w:spacing w:line="560" w:lineRule="exact"/>
        <w:ind w:left="420" w:leftChars="200"/>
        <w:rPr>
          <w:rFonts w:hint="eastAsia"/>
        </w:rPr>
      </w:pPr>
    </w:p>
    <w:p w14:paraId="0977859B">
      <w:pPr>
        <w:tabs>
          <w:tab w:val="left" w:pos="312"/>
        </w:tabs>
        <w:spacing w:line="560" w:lineRule="exact"/>
        <w:ind w:left="420" w:leftChars="200"/>
        <w:rPr>
          <w:rFonts w:hint="eastAsia"/>
        </w:rPr>
      </w:pPr>
    </w:p>
    <w:p w14:paraId="758C678A">
      <w:pPr>
        <w:spacing w:line="560" w:lineRule="exact"/>
        <w:rPr>
          <w:rFonts w:hint="eastAsia"/>
        </w:rPr>
      </w:pPr>
    </w:p>
    <w:p w14:paraId="3E5E85DE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伟大建党精神研究</w:t>
      </w:r>
    </w:p>
    <w:p w14:paraId="424B4C7D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1.伟大建党精神融入学校思想政治教育的实践研究</w:t>
      </w:r>
    </w:p>
    <w:p w14:paraId="1805945A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2.伟大建党精神的丰富内涵和育人价值研究</w:t>
      </w:r>
    </w:p>
    <w:p w14:paraId="4EBA5DFC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3.伟大建党精神的话语体系构建研究</w:t>
      </w:r>
    </w:p>
    <w:p w14:paraId="5D2C269E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4.以伟大建党精神引领高校校园文化建设研究</w:t>
      </w:r>
    </w:p>
    <w:p w14:paraId="39394636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5.高校提升伟大建党精神思政引领力成效评价研究</w:t>
      </w:r>
    </w:p>
    <w:p w14:paraId="55F3D3A6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6.伟大建党精神的国际表达和传播策略研究</w:t>
      </w:r>
    </w:p>
    <w:p w14:paraId="5A1A1BC0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7.高校伟大建党精神研究平台建设成效与评价研究</w:t>
      </w:r>
    </w:p>
    <w:p w14:paraId="7F197F55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8.伟大建党精神融入思政课案例式教学的实践研究</w:t>
      </w:r>
    </w:p>
    <w:p w14:paraId="2E06A4DA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9.馆校合作推进伟大建党精神的育人实践研究</w:t>
      </w:r>
    </w:p>
    <w:p w14:paraId="725BFD16">
      <w:pPr>
        <w:tabs>
          <w:tab w:val="left" w:pos="312"/>
        </w:tabs>
        <w:spacing w:line="560" w:lineRule="exact"/>
        <w:ind w:left="420" w:left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10.高校伟大建党精神理论宣讲品牌建设研究</w:t>
      </w:r>
    </w:p>
    <w:p w14:paraId="2D33716D">
      <w:pPr>
        <w:tabs>
          <w:tab w:val="left" w:pos="312"/>
        </w:tabs>
        <w:spacing w:line="560" w:lineRule="exact"/>
        <w:ind w:left="420" w:leftChars="200"/>
      </w:pPr>
    </w:p>
    <w:p w14:paraId="5F9918EE">
      <w:pPr>
        <w:spacing w:line="560" w:lineRule="exact"/>
        <w:rPr>
          <w:rFonts w:hint="eastAsia" w:ascii="仿宋_GB2312" w:hAnsi="仿宋_GB2312" w:cs="仿宋_GB2312"/>
          <w:sz w:val="30"/>
          <w:szCs w:val="3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304" w:bottom="1814" w:left="1588" w:header="851" w:footer="850" w:gutter="0"/>
          <w:pgNumType w:start="1"/>
          <w:cols w:space="720" w:num="1"/>
          <w:titlePg/>
          <w:docGrid w:type="lines" w:linePitch="312" w:charSpace="0"/>
        </w:sectPr>
      </w:pPr>
    </w:p>
    <w:p w14:paraId="05DC8E36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F0C35">
    <w:pPr>
      <w:snapToGrid w:val="0"/>
      <w:ind w:right="360" w:firstLine="360"/>
      <w:jc w:val="right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E945EC">
                          <w:pPr>
                            <w:snapToGrid w:val="0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E945EC">
                    <w:pPr>
                      <w:snapToGrid w:val="0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3BC371A">
    <w:pPr>
      <w:snapToGrid w:val="0"/>
      <w:jc w:val="left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FBD87">
    <w:pPr>
      <w:snapToGrid w:val="0"/>
      <w:ind w:right="360" w:firstLine="360"/>
      <w:jc w:val="left"/>
      <w:rPr>
        <w:sz w:val="18"/>
        <w:szCs w:val="18"/>
      </w:rPr>
    </w:pPr>
    <w:r>
      <w:rPr>
        <w:rFonts w:hint="eastAsia" w:ascii="宋体" w:hAnsi="宋体"/>
        <w:kern w:val="0"/>
        <w:sz w:val="28"/>
        <w:szCs w:val="28"/>
      </w:rPr>
      <w:t xml:space="preserve">— </w:t>
    </w:r>
    <w:r>
      <w:rPr>
        <w:rFonts w:hint="eastAsia" w:ascii="宋体" w:hAnsi="宋体"/>
        <w:kern w:val="0"/>
        <w:sz w:val="28"/>
        <w:szCs w:val="28"/>
      </w:rPr>
      <w:fldChar w:fldCharType="begin"/>
    </w:r>
    <w:r>
      <w:rPr>
        <w:rFonts w:hint="eastAsia" w:ascii="宋体" w:hAnsi="宋体"/>
        <w:kern w:val="0"/>
        <w:sz w:val="28"/>
        <w:szCs w:val="28"/>
      </w:rPr>
      <w:instrText xml:space="preserve"> PAGE </w:instrText>
    </w:r>
    <w:r>
      <w:rPr>
        <w:rFonts w:hint="eastAsia"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18</w:t>
    </w:r>
    <w:r>
      <w:rPr>
        <w:rFonts w:hint="eastAsia" w:ascii="宋体" w:hAnsi="宋体"/>
        <w:kern w:val="0"/>
        <w:sz w:val="28"/>
        <w:szCs w:val="28"/>
      </w:rPr>
      <w:fldChar w:fldCharType="end"/>
    </w:r>
    <w:r>
      <w:rPr>
        <w:rFonts w:hint="eastAsia" w:ascii="宋体" w:hAnsi="宋体"/>
        <w:kern w:val="0"/>
        <w:sz w:val="28"/>
        <w:szCs w:val="28"/>
      </w:rPr>
      <w:t xml:space="preserve"> —</w:t>
    </w:r>
  </w:p>
  <w:p w14:paraId="547E1E47">
    <w:pPr>
      <w:snapToGrid w:val="0"/>
      <w:jc w:val="left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78281">
    <w:pPr>
      <w:snapToGrid w:val="0"/>
      <w:ind w:right="360" w:firstLine="360"/>
      <w:jc w:val="right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00E6D4">
                          <w:pPr>
                            <w:snapToGrid w:val="0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00E6D4">
                    <w:pPr>
                      <w:snapToGrid w:val="0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63C84C9">
    <w:pPr>
      <w:snapToGrid w:val="0"/>
      <w:jc w:val="left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1772E"/>
    <w:rsid w:val="2961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